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602697" cy="1804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2697" cy="1804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six stages of childhood?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040.0" w:type="dxa"/>
        <w:jc w:val="left"/>
        <w:tblInd w:w="83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tblGridChange w:id="0">
          <w:tblGrid>
            <w:gridCol w:w="50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safest position to lay an infant to sleep?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Left side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Right side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Tummy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Name two benefits for children when parents possess the nurturing skills set.</w:t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Explain the attachment theory, including the key ingredients for a child to attach to his/her parents.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Most learning occurs after the age of 5 when children start kindergarten.  True</w:t>
        <w:tab/>
        <w:t xml:space="preserve">False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Name the five things parents can do to significantly improve language development.</w:t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</w:tr>
    </w:tbl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Which of the following is not a characteristic of a “good” children’s book: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Rhythmic appeal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Repetition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Short words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Colorful pictures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Which of the following infant equipment/supplies can be considered optional?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Clothing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Car seat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Changing table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Crib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Until what age does the American Academy of Pediatrics recommend NO television?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three clues should a parent look for to know that a baby is done with the current play activity?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</w:tr>
    </w:tbl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List two benefits of unstructured play.</w:t>
        <w:br w:type="textWrapping"/>
      </w:r>
    </w:p>
    <w:tbl>
      <w:tblPr>
        <w:tblStyle w:val="Table6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Which of the following is </w:t>
      </w:r>
      <w:r w:rsidDel="00000000" w:rsidR="00000000" w:rsidRPr="00000000">
        <w:rPr>
          <w:b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a factor in the loss of unstructured play?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Hurried lifestyle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Too many toys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Increased participation in school readiness activities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Changes in family structure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Match each of the following parenting styles with its characteristics by placing the letter of the associated characteristic in the space next to the parenting style.</w:t>
        <w:br w:type="textWrapping"/>
      </w:r>
    </w:p>
    <w:tbl>
      <w:tblPr>
        <w:tblStyle w:val="Table7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rPr>
          <w:trHeight w:val="57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Parenting Style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Characteristic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Permissive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</w:pPr>
            <w:r w:rsidDel="00000000" w:rsidR="00000000" w:rsidRPr="00000000">
              <w:rPr>
                <w:rtl w:val="0"/>
              </w:rPr>
              <w:t xml:space="preserve">Clearly states rules and discourages independence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Authoritarian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</w:pPr>
            <w:r w:rsidDel="00000000" w:rsidR="00000000" w:rsidRPr="00000000">
              <w:rPr>
                <w:rtl w:val="0"/>
              </w:rPr>
              <w:t xml:space="preserve">Disciplinary methods used by this parent are supportive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Authoritative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</w:pPr>
            <w:r w:rsidDel="00000000" w:rsidR="00000000" w:rsidRPr="00000000">
              <w:rPr>
                <w:rtl w:val="0"/>
              </w:rPr>
              <w:t xml:space="preserve">Often neglectful because of drug use or immaturity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Uninvolved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</w:pPr>
            <w:r w:rsidDel="00000000" w:rsidR="00000000" w:rsidRPr="00000000">
              <w:rPr>
                <w:rtl w:val="0"/>
              </w:rPr>
              <w:t xml:space="preserve">More responsive than demanding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Match Erikson’s stages of development to the correct age by placing the letter of the age in the space next to its associated stage.</w:t>
        <w:br w:type="textWrapping"/>
      </w:r>
    </w:p>
    <w:tbl>
      <w:tblPr>
        <w:tblStyle w:val="Table8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Style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Fidelity: Identity vs. Role Confusion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Infants, 0 to 1 year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Will: Autonomy vs. Shame &amp; Doubt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Toddlers, 2 to 3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Wisdom: Ego Integrity vs. Despair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Preschool, 4 to 6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Purpose: Initiative vs. Guilt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Childhood, 7 to 12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Love: Intimacy vs. Isolation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Adolescents, 13 to 19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Care: Generativity vs. Stagnation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Young Adults, 20 to 34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Competence: Industry vs. Inferiority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Middle Adulthood, 35 to 65 years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Hope: Trust vs. Mistrust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Seniors, 65 years onwards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three characteristics of quality childcare?</w:t>
      </w:r>
    </w:p>
    <w:tbl>
      <w:tblPr>
        <w:tblStyle w:val="Table9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</w:tr>
    </w:tbl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two benefits of a child having a stay-at-home parent up until age 3.</w:t>
      </w:r>
    </w:p>
    <w:tbl>
      <w:tblPr>
        <w:tblStyle w:val="Table10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Directions: For the following scenario, write both a logical and natural consequence.</w:t>
      </w:r>
    </w:p>
    <w:tbl>
      <w:tblPr>
        <w:tblStyle w:val="Table1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brother and sister won’t stop fighting with each other over a toy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Natural Consequence: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Logical Consequence:</w:t>
            </w:r>
          </w:p>
        </w:tc>
      </w:tr>
    </w:tbl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three consequences (short-or long-term) for a child if a parent fails to set limits and say “No”? </w:t>
      </w:r>
    </w:p>
    <w:tbl>
      <w:tblPr>
        <w:tblStyle w:val="Table1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</w:tr>
    </w:tbl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